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93B7C" w14:textId="1D13CCA2" w:rsidR="00A749B3" w:rsidRDefault="00A749B3"/>
    <w:p w14:paraId="1B9E1FC5" w14:textId="2A893EFC" w:rsidR="00A749B3" w:rsidRDefault="00A749B3"/>
    <w:p w14:paraId="6E4209E8" w14:textId="7FEB99C2" w:rsidR="00A749B3" w:rsidRDefault="00A749B3"/>
    <w:p w14:paraId="57B771ED" w14:textId="7A2111F7" w:rsidR="00A749B3" w:rsidRDefault="00A749B3"/>
    <w:p w14:paraId="7CD2A2F0" w14:textId="77777777" w:rsidR="00A749B3" w:rsidRPr="00A749B3" w:rsidRDefault="00A749B3" w:rsidP="00A749B3">
      <w:pPr>
        <w:widowControl w:val="0"/>
        <w:spacing w:line="360" w:lineRule="auto"/>
        <w:jc w:val="center"/>
        <w:rPr>
          <w:b/>
          <w:snapToGrid w:val="0"/>
          <w:sz w:val="24"/>
          <w:szCs w:val="24"/>
          <w:lang w:eastAsia="en-US"/>
        </w:rPr>
      </w:pPr>
      <w:r w:rsidRPr="00A749B3">
        <w:rPr>
          <w:b/>
          <w:snapToGrid w:val="0"/>
          <w:sz w:val="24"/>
          <w:szCs w:val="24"/>
        </w:rPr>
        <w:t>Обязательная информация</w:t>
      </w:r>
    </w:p>
    <w:p w14:paraId="37C1BC43" w14:textId="77777777" w:rsidR="00A749B3" w:rsidRPr="00A749B3" w:rsidRDefault="00A749B3" w:rsidP="00A749B3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</w:p>
    <w:p w14:paraId="1E601F8C" w14:textId="77777777" w:rsidR="00A749B3" w:rsidRPr="00A749B3" w:rsidRDefault="00A749B3" w:rsidP="00A749B3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A749B3">
        <w:rPr>
          <w:snapToGrid w:val="0"/>
          <w:sz w:val="24"/>
          <w:szCs w:val="24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68A70317" w14:textId="77777777" w:rsidR="00A749B3" w:rsidRPr="00A749B3" w:rsidRDefault="00A749B3" w:rsidP="00A749B3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A749B3">
        <w:rPr>
          <w:snapToGrid w:val="0"/>
          <w:sz w:val="24"/>
          <w:szCs w:val="24"/>
        </w:rPr>
        <w:t>ОПИФ рыночных финансовых инструментов «ТКБ Инвестмент Партнерс – Фонд валютных облигаций» (Правила доверительного управления фондом зарегистрированы ФСФР России 20.09.2007 за № 0991-94131990).</w:t>
      </w:r>
    </w:p>
    <w:p w14:paraId="6A2E8343" w14:textId="77777777" w:rsidR="00A749B3" w:rsidRPr="00A749B3" w:rsidRDefault="00A749B3" w:rsidP="00A749B3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A749B3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www.tkbip.ru/sales/).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156E8F7D" w14:textId="77777777" w:rsidR="00A749B3" w:rsidRPr="00A749B3" w:rsidRDefault="00A749B3" w:rsidP="00A749B3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A749B3">
        <w:rPr>
          <w:snapToGrid w:val="0"/>
          <w:sz w:val="24"/>
          <w:szCs w:val="24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0D5037CF" w14:textId="283E8F08" w:rsidR="00A749B3" w:rsidRPr="00A749B3" w:rsidRDefault="00A749B3">
      <w:pPr>
        <w:rPr>
          <w:sz w:val="24"/>
          <w:szCs w:val="24"/>
        </w:rPr>
      </w:pPr>
    </w:p>
    <w:p w14:paraId="0301FA21" w14:textId="6799C92B" w:rsidR="00A749B3" w:rsidRPr="00A749B3" w:rsidRDefault="00A749B3">
      <w:pPr>
        <w:rPr>
          <w:sz w:val="24"/>
          <w:szCs w:val="24"/>
        </w:rPr>
      </w:pPr>
    </w:p>
    <w:p w14:paraId="11C764C5" w14:textId="7C6CEDE4" w:rsidR="00A749B3" w:rsidRDefault="00A749B3"/>
    <w:p w14:paraId="79EF2DA0" w14:textId="2F1FFB97" w:rsidR="00A749B3" w:rsidRDefault="00A749B3"/>
    <w:p w14:paraId="79039636" w14:textId="1E36C1A9" w:rsidR="00A749B3" w:rsidRDefault="00A749B3"/>
    <w:p w14:paraId="35B0358E" w14:textId="2A9C9C60" w:rsidR="00A749B3" w:rsidRDefault="00A749B3"/>
    <w:p w14:paraId="5527DD79" w14:textId="0D6E3F38" w:rsidR="00A749B3" w:rsidRDefault="00A749B3"/>
    <w:p w14:paraId="597C0CBA" w14:textId="2589D80F" w:rsidR="00A749B3" w:rsidRDefault="00A749B3"/>
    <w:p w14:paraId="34328BAB" w14:textId="3FE1080E" w:rsidR="00A749B3" w:rsidRDefault="00A749B3"/>
    <w:p w14:paraId="36FEE1BF" w14:textId="268276E7" w:rsidR="00A749B3" w:rsidRDefault="00A749B3"/>
    <w:p w14:paraId="76184785" w14:textId="6D3FE10F" w:rsidR="00A749B3" w:rsidRDefault="00A749B3"/>
    <w:p w14:paraId="46A9FD1A" w14:textId="7B4060B6" w:rsidR="00A749B3" w:rsidRDefault="00A749B3"/>
    <w:p w14:paraId="32E3F156" w14:textId="770E58F9" w:rsidR="00A749B3" w:rsidRDefault="00A749B3">
      <w:bookmarkStart w:id="0" w:name="_GoBack"/>
      <w:bookmarkEnd w:id="0"/>
    </w:p>
    <w:tbl>
      <w:tblPr>
        <w:tblpPr w:leftFromText="180" w:rightFromText="180" w:vertAnchor="text" w:horzAnchor="margin" w:tblpX="-318" w:tblpY="430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0D6427" w:rsidRPr="00AD2F2B" w14:paraId="10125DE1" w14:textId="77777777" w:rsidTr="008174A8">
        <w:trPr>
          <w:trHeight w:val="1275"/>
        </w:trPr>
        <w:tc>
          <w:tcPr>
            <w:tcW w:w="4962" w:type="dxa"/>
          </w:tcPr>
          <w:p w14:paraId="669ECB4E" w14:textId="766ACF59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Del="000D6427">
              <w:rPr>
                <w:b/>
                <w:snapToGrid w:val="0"/>
                <w:sz w:val="24"/>
                <w:szCs w:val="24"/>
              </w:rPr>
              <w:lastRenderedPageBreak/>
              <w:t xml:space="preserve"> </w:t>
            </w:r>
            <w:r w:rsidRPr="00AD2F2B">
              <w:rPr>
                <w:b/>
              </w:rPr>
              <w:t>«СОГЛАСОВАНО»</w:t>
            </w:r>
          </w:p>
          <w:p w14:paraId="74EA5D1A" w14:textId="43288BBA" w:rsidR="000D6427" w:rsidRPr="00AD2F2B" w:rsidRDefault="000D6427" w:rsidP="008174A8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="00B6236A" w:rsidRPr="00AD2F2B">
              <w:t>«</w:t>
            </w:r>
            <w:r w:rsidR="00415D93">
              <w:t>20</w:t>
            </w:r>
            <w:r w:rsidR="000C34B5" w:rsidRPr="00AD2F2B">
              <w:t xml:space="preserve">» </w:t>
            </w:r>
            <w:r w:rsidR="00415D93">
              <w:t xml:space="preserve">декабря </w:t>
            </w:r>
            <w:r w:rsidR="004B2A5A">
              <w:t>2024</w:t>
            </w:r>
            <w:r w:rsidRPr="00AD2F2B">
              <w:t xml:space="preserve"> г. </w:t>
            </w:r>
          </w:p>
          <w:p w14:paraId="5E02B29E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288B4120" w14:textId="432B0CED" w:rsidR="000D6427" w:rsidRPr="00AD2F2B" w:rsidRDefault="000C34B5" w:rsidP="008174A8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014E276B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ЗАО «Первый специализированный»</w:t>
            </w:r>
          </w:p>
          <w:p w14:paraId="2E4AEF97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Депозитарий» </w:t>
            </w:r>
          </w:p>
          <w:p w14:paraId="0BD644C8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_________________ Панкратова Г.Н.      </w:t>
            </w:r>
          </w:p>
        </w:tc>
        <w:tc>
          <w:tcPr>
            <w:tcW w:w="4332" w:type="dxa"/>
          </w:tcPr>
          <w:p w14:paraId="3619723A" w14:textId="77777777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093FFACB" w14:textId="083B6B7C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 </w:t>
            </w:r>
            <w:r w:rsidR="00B6236A" w:rsidRPr="00AD2F2B">
              <w:t>«</w:t>
            </w:r>
            <w:r w:rsidR="00415D93">
              <w:t>20</w:t>
            </w:r>
            <w:r w:rsidRPr="00AD2F2B">
              <w:t xml:space="preserve">» </w:t>
            </w:r>
            <w:r w:rsidR="00415D93">
              <w:t xml:space="preserve">декабря </w:t>
            </w:r>
            <w:r w:rsidR="004B2A5A">
              <w:t>2024</w:t>
            </w:r>
            <w:r w:rsidRPr="00AD2F2B">
              <w:t xml:space="preserve"> г.       </w:t>
            </w:r>
          </w:p>
          <w:p w14:paraId="76850620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6848E54B" w14:textId="77777777" w:rsidR="000D6427" w:rsidRPr="00AD2F2B" w:rsidRDefault="000D6427" w:rsidP="008174A8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4F916F32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ТКБ Инвестмент Партнерс</w:t>
            </w:r>
          </w:p>
          <w:p w14:paraId="1963C229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231C4F13" w14:textId="37296D19" w:rsidR="000D6427" w:rsidRPr="00AD2F2B" w:rsidRDefault="000D6427" w:rsidP="008449D1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</w:t>
            </w:r>
            <w:r w:rsidR="008449D1">
              <w:t>Тимофеев Д.Н.</w:t>
            </w:r>
          </w:p>
        </w:tc>
      </w:tr>
    </w:tbl>
    <w:p w14:paraId="6E241F59" w14:textId="77777777" w:rsidR="00B25149" w:rsidRPr="00AD2F2B" w:rsidRDefault="00B25149" w:rsidP="00A749B3">
      <w:pPr>
        <w:widowControl w:val="0"/>
        <w:spacing w:line="360" w:lineRule="auto"/>
        <w:rPr>
          <w:b/>
          <w:snapToGrid w:val="0"/>
          <w:sz w:val="24"/>
          <w:szCs w:val="24"/>
        </w:rPr>
      </w:pPr>
    </w:p>
    <w:p w14:paraId="7AD3884C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2020CC43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548FB89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7BE67E66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48C01C5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A2CC001" w14:textId="7539E06E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63C3F6" w14:textId="366192B4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845D12A" w14:textId="7777777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3DD05951" w14:textId="6E67E1E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snapToGrid w:val="0"/>
          <w:vertAlign w:val="superscript"/>
        </w:rPr>
      </w:pPr>
      <w:r w:rsidRPr="00AD2F2B">
        <w:rPr>
          <w:snapToGrid w:val="0"/>
          <w:sz w:val="26"/>
          <w:szCs w:val="26"/>
          <w:u w:val="single"/>
        </w:rPr>
        <w:t>ОТКРЫТЫЙ ПАЕВОЙ ИНВЕСТИЦИОННЫЙ ФОНД РЫНОЧНЫХ ФИНАНСОВЫХ ИНСТРУМЕНТОВ «</w:t>
      </w:r>
      <w:r w:rsidR="00E32B66" w:rsidRPr="00AD2F2B">
        <w:rPr>
          <w:snapToGrid w:val="0"/>
          <w:sz w:val="26"/>
          <w:szCs w:val="26"/>
          <w:u w:val="single"/>
        </w:rPr>
        <w:t>ТКБ ИНВЕСТМЕНТ ПАРТНЕРС –</w:t>
      </w:r>
      <w:r w:rsidR="00126798">
        <w:rPr>
          <w:snapToGrid w:val="0"/>
          <w:sz w:val="26"/>
          <w:szCs w:val="26"/>
          <w:u w:val="single"/>
        </w:rPr>
        <w:t xml:space="preserve"> </w:t>
      </w:r>
      <w:r w:rsidR="00C92C05">
        <w:rPr>
          <w:snapToGrid w:val="0"/>
          <w:sz w:val="26"/>
          <w:szCs w:val="26"/>
          <w:u w:val="single"/>
        </w:rPr>
        <w:t>ФОНД ВАЛЮТНЫХ ОБЛИГАЦИЙ</w:t>
      </w:r>
      <w:r w:rsidRPr="00AD2F2B">
        <w:rPr>
          <w:snapToGrid w:val="0"/>
          <w:sz w:val="26"/>
          <w:szCs w:val="26"/>
          <w:u w:val="single"/>
        </w:rPr>
        <w:t>»</w:t>
      </w:r>
    </w:p>
    <w:p w14:paraId="7CFF4CCB" w14:textId="77777777" w:rsidR="00B06C6D" w:rsidRDefault="00B06C6D" w:rsidP="00B06C6D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340144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787F089B" w:rsidR="00BD4947" w:rsidRDefault="00D463B5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="00F3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«Ценная бумага, приобретенная при размещении» </w:t>
      </w:r>
      <w:r w:rsidR="00F31514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F31514">
        <w:rPr>
          <w:sz w:val="24"/>
          <w:szCs w:val="24"/>
        </w:rPr>
        <w:t xml:space="preserve"> 1 </w:t>
      </w:r>
      <w:r w:rsidR="004C50D0">
        <w:rPr>
          <w:sz w:val="24"/>
          <w:szCs w:val="24"/>
        </w:rPr>
        <w:t>«</w:t>
      </w:r>
      <w:r w:rsidR="00F31514">
        <w:rPr>
          <w:sz w:val="24"/>
          <w:szCs w:val="24"/>
        </w:rPr>
        <w:t xml:space="preserve">Методы определения </w:t>
      </w:r>
      <w:r>
        <w:rPr>
          <w:sz w:val="24"/>
          <w:szCs w:val="24"/>
        </w:rPr>
        <w:t>справедливой</w:t>
      </w:r>
      <w:r w:rsidR="00F31514">
        <w:rPr>
          <w:sz w:val="24"/>
          <w:szCs w:val="24"/>
        </w:rPr>
        <w:t xml:space="preserve"> стоимости </w:t>
      </w:r>
      <w:r w:rsidR="00E818CA">
        <w:rPr>
          <w:sz w:val="24"/>
          <w:szCs w:val="24"/>
        </w:rPr>
        <w:t>бумаг</w:t>
      </w:r>
      <w:r w:rsidR="004C50D0">
        <w:rPr>
          <w:sz w:val="24"/>
          <w:szCs w:val="24"/>
        </w:rPr>
        <w:t>»</w:t>
      </w:r>
      <w:r w:rsidR="00E818CA">
        <w:rPr>
          <w:sz w:val="24"/>
          <w:szCs w:val="24"/>
        </w:rPr>
        <w:t xml:space="preserve"> Правил</w:t>
      </w:r>
      <w:r w:rsidRPr="005A162E">
        <w:rPr>
          <w:sz w:val="24"/>
          <w:szCs w:val="24"/>
        </w:rPr>
        <w:t xml:space="preserve"> определения стоимости чистых активов Открытого паевого инвестиционного фонда рыночных финансовых инструментов «ТКБ Инвестмент Партнерс – </w:t>
      </w:r>
      <w:r w:rsidR="00C92C05">
        <w:rPr>
          <w:sz w:val="24"/>
          <w:szCs w:val="24"/>
        </w:rPr>
        <w:t>Фонд валютных облигаций</w:t>
      </w:r>
      <w:r w:rsidRPr="005A162E">
        <w:rPr>
          <w:sz w:val="24"/>
          <w:szCs w:val="24"/>
        </w:rPr>
        <w:t xml:space="preserve">» </w:t>
      </w:r>
      <w:r>
        <w:rPr>
          <w:sz w:val="24"/>
          <w:szCs w:val="24"/>
        </w:rPr>
        <w:t>в следующей</w:t>
      </w:r>
      <w:r w:rsidR="00F315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14:paraId="67AE2B7E" w14:textId="77777777" w:rsidR="00D463B5" w:rsidRPr="00D463B5" w:rsidRDefault="00D463B5" w:rsidP="00D463B5">
      <w:pPr>
        <w:suppressAutoHyphens w:val="0"/>
        <w:autoSpaceDE/>
        <w:spacing w:after="160" w:line="36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3"/>
        <w:gridCol w:w="7358"/>
      </w:tblGrid>
      <w:tr w:rsidR="00D463B5" w:rsidRPr="00AD2F2B" w:rsidDel="00F42424" w14:paraId="3A1AD73B" w14:textId="77777777" w:rsidTr="006163BA">
        <w:tc>
          <w:tcPr>
            <w:tcW w:w="2574" w:type="dxa"/>
            <w:vAlign w:val="center"/>
          </w:tcPr>
          <w:p w14:paraId="50DCD64F" w14:textId="77777777" w:rsidR="00D463B5" w:rsidRPr="00AD2F2B" w:rsidDel="00F42424" w:rsidRDefault="00D463B5" w:rsidP="006163BA">
            <w:pPr>
              <w:autoSpaceDN w:val="0"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</w:rPr>
              <w:t>Ценная бумага, приобретенная при  размещении</w:t>
            </w:r>
          </w:p>
        </w:tc>
        <w:tc>
          <w:tcPr>
            <w:tcW w:w="7472" w:type="dxa"/>
          </w:tcPr>
          <w:p w14:paraId="43167D99" w14:textId="77777777" w:rsidR="00D463B5" w:rsidRDefault="00D463B5" w:rsidP="006163BA">
            <w:pPr>
              <w:pStyle w:val="a8"/>
              <w:spacing w:line="360" w:lineRule="auto"/>
              <w:ind w:left="241"/>
              <w:jc w:val="both"/>
              <w:rPr>
                <w:color w:val="000000" w:themeColor="text1"/>
                <w:sz w:val="24"/>
                <w:szCs w:val="24"/>
              </w:rPr>
            </w:pPr>
            <w:r w:rsidRPr="00D07A15">
              <w:rPr>
                <w:color w:val="000000" w:themeColor="text1"/>
                <w:sz w:val="24"/>
                <w:szCs w:val="24"/>
              </w:rPr>
              <w:t>Справедлив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стоимость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долевых ценных бумаг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в случае приобретения в период размещения с даты приобретения и до появления цен 1 уровня, но не более 10 рабочих дней с даты, следующей за датой окончания размещения, </w:t>
            </w:r>
            <w:r>
              <w:rPr>
                <w:color w:val="000000" w:themeColor="text1"/>
                <w:sz w:val="24"/>
                <w:szCs w:val="24"/>
              </w:rPr>
              <w:t xml:space="preserve">является цена </w:t>
            </w:r>
            <w:r w:rsidRPr="00D07A15">
              <w:rPr>
                <w:color w:val="000000" w:themeColor="text1"/>
                <w:sz w:val="24"/>
                <w:szCs w:val="24"/>
              </w:rPr>
              <w:t>размещения без корректировки. В отсутствии цен 1-го уровня свыше указанного срока применяется оценка на основании исходных данных 3-го уровня.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7A15">
              <w:rPr>
                <w:color w:val="000000" w:themeColor="text1"/>
                <w:sz w:val="24"/>
                <w:szCs w:val="24"/>
              </w:rPr>
              <w:t>Управляющая компания по своему усмотрению может перейти на оценку с использованием исходных данных 3-го уровня до истечения указанного срока, обосновав свое решение мотивированным суждением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0DD3BCF" w14:textId="782D0285" w:rsidR="00D463B5" w:rsidRDefault="00D463B5" w:rsidP="006163BA">
            <w:pPr>
              <w:pStyle w:val="a8"/>
              <w:spacing w:line="360" w:lineRule="auto"/>
              <w:ind w:left="0"/>
              <w:jc w:val="both"/>
            </w:pPr>
            <w:r w:rsidRPr="001F6C85">
              <w:rPr>
                <w:sz w:val="24"/>
                <w:szCs w:val="24"/>
              </w:rPr>
              <w:t xml:space="preserve">Для определения справедливой стоимости </w:t>
            </w:r>
            <w:r w:rsidRPr="005543D2">
              <w:rPr>
                <w:sz w:val="24"/>
                <w:szCs w:val="24"/>
              </w:rPr>
              <w:t>облигаций российских эмитентов, приобретенных при размещении</w:t>
            </w:r>
            <w:r w:rsidRPr="001F6C85">
              <w:rPr>
                <w:sz w:val="24"/>
                <w:szCs w:val="24"/>
              </w:rPr>
              <w:t xml:space="preserve"> (в том числе замещающих облигаций, оплата которых при их размещении осуществляется еврооблигациями (в том числе в случае передачи (уступки) всех имущественных и иных прав по еврооблигациям российским юридическим лицам)), в отношении которых была заключена сделка по приобретению ценных бумаг с эмитентом или профессиональным участником рынка ценных бумаг, оказывающим эмитенту услуги по размещению ценных бумаг от своего имени, но за счет и по поручению эмитента, либо с любым другим третьим лицом в период с даты начала размещения</w:t>
            </w:r>
            <w:r>
              <w:rPr>
                <w:sz w:val="24"/>
                <w:szCs w:val="24"/>
              </w:rPr>
              <w:t>,</w:t>
            </w:r>
            <w:r w:rsidRPr="001F6C85">
              <w:rPr>
                <w:sz w:val="24"/>
                <w:szCs w:val="24"/>
              </w:rPr>
              <w:t xml:space="preserve">(далее – ценные бумаги, приобретенные при размещении), с даты приобретения </w:t>
            </w:r>
            <w:r>
              <w:rPr>
                <w:sz w:val="24"/>
                <w:szCs w:val="24"/>
              </w:rPr>
              <w:t xml:space="preserve">и </w:t>
            </w:r>
            <w:r w:rsidRPr="006163BA">
              <w:rPr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 в соответствии с Приложением</w:t>
            </w:r>
            <w:r w:rsidR="009377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 xml:space="preserve">, и справедливой стоимости, определенной на основании отчета оценщика), применяемых для оценки облигаций российских эмитентов в соответствии с </w:t>
            </w:r>
            <w:r w:rsidRPr="006163BA">
              <w:rPr>
                <w:sz w:val="24"/>
                <w:szCs w:val="24"/>
              </w:rPr>
              <w:lastRenderedPageBreak/>
              <w:t>настоящими Правилами СЧА, используется цена размещения</w:t>
            </w:r>
            <w:r>
              <w:t xml:space="preserve"> </w:t>
            </w:r>
            <w:r w:rsidRPr="001F6C85">
              <w:rPr>
                <w:sz w:val="24"/>
                <w:szCs w:val="24"/>
              </w:rPr>
              <w:t xml:space="preserve"> (для долговых ценных бумаг – цена размещения с учетом накопленного купонного дохода, если начисление купонного дохода за период размещения предусмотрено условиями размещения или иным документом</w:t>
            </w:r>
            <w:r>
              <w:rPr>
                <w:sz w:val="24"/>
                <w:szCs w:val="24"/>
              </w:rPr>
              <w:t xml:space="preserve">). Цена размещения используется </w:t>
            </w:r>
            <w:r>
              <w:rPr>
                <w:color w:val="000000"/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уровня, применяемых для оценки облигаций российских эмитентов в соответствии с настоящими Правилами СЧА.</w:t>
            </w:r>
          </w:p>
          <w:p w14:paraId="524C5D3F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даты, следующей за датой окончания размещения, и до появления цен, позволяющих произвести оценку, </w:t>
            </w:r>
            <w:r w:rsidRPr="008449D1">
              <w:rPr>
                <w:sz w:val="24"/>
                <w:szCs w:val="24"/>
              </w:rPr>
              <w:t xml:space="preserve">для определения справедливой стоимости используется цена размещения, скорректированная пропорционально изменению значения безрисковой ставки доходности страны риска на срок, соответствующий сроку до даты погашения (оферты) ценной бумаги. </w:t>
            </w:r>
          </w:p>
          <w:p w14:paraId="56A22D0D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В качестве безрисковой ставки доходности страны риска используются:</w:t>
            </w:r>
          </w:p>
          <w:p w14:paraId="26A72C88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1)           Для ценных бумаг, номинированных в российских рублях – ставка кривой бескупонной доходности Московской биржи</w:t>
            </w:r>
            <w:r w:rsidRPr="008449D1">
              <w:rPr>
                <w:sz w:val="24"/>
                <w:szCs w:val="24"/>
              </w:rPr>
              <w:footnoteReference w:id="1"/>
            </w:r>
          </w:p>
          <w:p w14:paraId="76642AF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2)           Для ценных бумаг, номинированных в американских долларах - ставка, по американским государственным облигациям</w:t>
            </w:r>
            <w:r w:rsidRPr="008449D1">
              <w:rPr>
                <w:sz w:val="24"/>
                <w:szCs w:val="24"/>
              </w:rPr>
              <w:footnoteReference w:id="2"/>
            </w:r>
          </w:p>
          <w:p w14:paraId="7BD0D2C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3)           Для ценных бумаг, номинированных в евро - ставка, </w:t>
            </w:r>
            <w:r>
              <w:rPr>
                <w:sz w:val="24"/>
                <w:szCs w:val="24"/>
              </w:rPr>
              <w:t xml:space="preserve">по </w:t>
            </w:r>
            <w:r w:rsidRPr="008449D1">
              <w:rPr>
                <w:sz w:val="24"/>
                <w:szCs w:val="24"/>
              </w:rPr>
              <w:t>облигациям с рейтингом ААА Еврозоны</w:t>
            </w:r>
            <w:r w:rsidRPr="008449D1">
              <w:rPr>
                <w:sz w:val="24"/>
                <w:szCs w:val="24"/>
              </w:rPr>
              <w:footnoteReference w:id="3"/>
            </w:r>
          </w:p>
          <w:p w14:paraId="15329A6C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Для расчета выбирается соответствующая раскрытая ставка на срок, максимально приближенный к сроку до даты погашения (или до ближайшей даты оферты, предусматривающей погашение, в случае, если она предусмотрена условиями выпуска).</w:t>
            </w:r>
          </w:p>
          <w:p w14:paraId="515AE664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образом:</w:t>
            </w:r>
          </w:p>
          <w:p w14:paraId="27457D45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FE38BF8" w14:textId="77777777" w:rsidR="00D463B5" w:rsidRPr="00AD2F2B" w:rsidRDefault="00A749B3" w:rsidP="006163BA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Price 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(1+Rf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den>
                </m:f>
              </m:oMath>
            </m:oMathPara>
          </w:p>
          <w:p w14:paraId="477D8302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Где</w:t>
            </w:r>
          </w:p>
          <w:p w14:paraId="3517BC5E" w14:textId="77777777" w:rsidR="00D463B5" w:rsidRPr="00AD2F2B" w:rsidRDefault="00A749B3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справедливая стоимость ценной бумаги на дату оценки</w:t>
            </w:r>
          </w:p>
          <w:p w14:paraId="6AA2376A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Price</m:t>
              </m:r>
            </m:oMath>
            <w:r w:rsidRPr="00AD2F2B">
              <w:rPr>
                <w:sz w:val="24"/>
                <w:szCs w:val="24"/>
              </w:rPr>
              <w:t xml:space="preserve"> – цена размещения</w:t>
            </w:r>
          </w:p>
          <w:p w14:paraId="6C34D278" w14:textId="77777777" w:rsidR="00D463B5" w:rsidRPr="00AD2F2B" w:rsidRDefault="00A749B3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размещения на срок до погашения (оферты)</w:t>
            </w:r>
          </w:p>
          <w:p w14:paraId="417B3430" w14:textId="77777777" w:rsidR="00D463B5" w:rsidRPr="00AD2F2B" w:rsidRDefault="00A749B3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оценки на срок до погашения (оферты)</w:t>
            </w:r>
          </w:p>
          <w:p w14:paraId="2E8DF32D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погашения (оферты)</w:t>
            </w:r>
          </w:p>
          <w:p w14:paraId="16B6C1BE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оценки</w:t>
            </w:r>
          </w:p>
          <w:p w14:paraId="7C3358EE" w14:textId="77777777" w:rsidR="00D463B5" w:rsidRPr="00AD2F2B" w:rsidRDefault="00A749B3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дата размещения</w:t>
            </w:r>
          </w:p>
          <w:p w14:paraId="58E7AA88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(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-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) – определяется в годах</w:t>
            </w:r>
          </w:p>
          <w:p w14:paraId="4A85F7DA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Полученная справедливая стоимость с учетом корректировки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8449D1">
              <w:rPr>
                <w:sz w:val="24"/>
                <w:szCs w:val="24"/>
              </w:rPr>
              <w:t>) округляется до двух знаков после запятой.</w:t>
            </w:r>
          </w:p>
          <w:p w14:paraId="108234E0" w14:textId="472DD9D4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Указанный метод определения справедливой стоимости используется до появления цен 1-го уровня, </w:t>
            </w:r>
            <w:r w:rsidRPr="006163BA">
              <w:rPr>
                <w:sz w:val="24"/>
                <w:szCs w:val="24"/>
              </w:rPr>
              <w:t>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 в соответствии с Приложением</w:t>
            </w:r>
            <w:r w:rsidR="009377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</w:t>
            </w:r>
            <w:r>
              <w:rPr>
                <w:sz w:val="24"/>
                <w:szCs w:val="24"/>
              </w:rPr>
              <w:t xml:space="preserve">, </w:t>
            </w:r>
            <w:r w:rsidRPr="008449D1">
              <w:rPr>
                <w:sz w:val="24"/>
                <w:szCs w:val="24"/>
              </w:rPr>
              <w:t xml:space="preserve">но не более 10 рабочих дней с даты, следующей за датой размещения.  </w:t>
            </w:r>
          </w:p>
          <w:p w14:paraId="6E331E35" w14:textId="77777777" w:rsidR="00D463B5" w:rsidRPr="00AD2F2B" w:rsidRDefault="00D463B5" w:rsidP="006163BA">
            <w:pPr>
              <w:spacing w:line="360" w:lineRule="auto"/>
              <w:ind w:firstLine="601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С 11 дня применяется общий порядок оценки ценных бумаг на втором и третьем уровне, в случае отсутствия цен 1-го уровня</w:t>
            </w:r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0EEF8AB6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Открытого паевого инвестиционного фонда рыночных финансовых инструментов «ТКБ Инвестмент Партнерс – </w:t>
      </w:r>
      <w:r w:rsidR="00126798">
        <w:rPr>
          <w:sz w:val="24"/>
          <w:szCs w:val="24"/>
        </w:rPr>
        <w:t xml:space="preserve"> </w:t>
      </w:r>
      <w:r w:rsidR="00C92C05">
        <w:rPr>
          <w:sz w:val="24"/>
          <w:szCs w:val="24"/>
        </w:rPr>
        <w:t>Фонд валютных облигаций</w:t>
      </w:r>
      <w:r w:rsidRPr="00D35F17">
        <w:rPr>
          <w:sz w:val="24"/>
          <w:szCs w:val="24"/>
        </w:rPr>
        <w:t>»</w:t>
      </w:r>
      <w:r w:rsidRPr="00D35F17">
        <w:rPr>
          <w:sz w:val="24"/>
          <w:szCs w:val="24"/>
          <w:lang w:eastAsia="ru-RU"/>
        </w:rPr>
        <w:t xml:space="preserve"> </w:t>
      </w:r>
      <w:r w:rsidRPr="00D35F17">
        <w:rPr>
          <w:sz w:val="24"/>
          <w:szCs w:val="24"/>
        </w:rPr>
        <w:t>подлежат применению с «</w:t>
      </w:r>
      <w:r w:rsidR="00415D93">
        <w:rPr>
          <w:sz w:val="24"/>
          <w:szCs w:val="24"/>
        </w:rPr>
        <w:t>28</w:t>
      </w:r>
      <w:r w:rsidRPr="00D35F17">
        <w:rPr>
          <w:sz w:val="24"/>
          <w:szCs w:val="24"/>
        </w:rPr>
        <w:t xml:space="preserve">» </w:t>
      </w:r>
      <w:r w:rsidR="00415D93">
        <w:rPr>
          <w:sz w:val="24"/>
          <w:szCs w:val="24"/>
        </w:rPr>
        <w:t>декабря</w:t>
      </w:r>
      <w:r w:rsidR="00415D93" w:rsidRPr="00D35F17">
        <w:rPr>
          <w:sz w:val="24"/>
          <w:szCs w:val="24"/>
        </w:rPr>
        <w:t xml:space="preserve"> </w:t>
      </w:r>
      <w:r w:rsidRPr="00D35F1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114EFAA4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749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  <w:footnote w:id="1">
    <w:p w14:paraId="32BFD591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1" w:history="1">
        <w:r>
          <w:rPr>
            <w:rStyle w:val="af4"/>
            <w:sz w:val="18"/>
            <w:szCs w:val="18"/>
          </w:rPr>
          <w:t>https://www.moex.com/ru/marketdata/indices/state/g-curve/</w:t>
        </w:r>
      </w:hyperlink>
    </w:p>
  </w:footnote>
  <w:footnote w:id="2">
    <w:p w14:paraId="0470DB12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hyperlink r:id="rId2" w:history="1">
        <w:r>
          <w:rPr>
            <w:rStyle w:val="af4"/>
            <w:sz w:val="18"/>
            <w:szCs w:val="18"/>
          </w:rPr>
          <w:t>https://www.treasury.gov/resource-center/data-chart-center/interest-rates/pages/TextView.aspx?data=yield</w:t>
        </w:r>
      </w:hyperlink>
    </w:p>
  </w:footnote>
  <w:footnote w:id="3">
    <w:p w14:paraId="7890E846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3" w:history="1">
        <w:r>
          <w:rPr>
            <w:rStyle w:val="af4"/>
            <w:sz w:val="18"/>
            <w:szCs w:val="18"/>
          </w:rPr>
          <w:t>https://www.ecb.europa.eu/stats/financial_markets_and_interest_rates/euro_area_yield_curves/html/index.en.html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0CD7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79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11BBD"/>
    <w:rsid w:val="00512076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723B"/>
    <w:rsid w:val="007B13A2"/>
    <w:rsid w:val="007B4E9B"/>
    <w:rsid w:val="007B51F0"/>
    <w:rsid w:val="007B621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377A2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9B3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2C0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F62"/>
    <w:rsid w:val="00DE0D4B"/>
    <w:rsid w:val="00DE1B13"/>
    <w:rsid w:val="00DE2203"/>
    <w:rsid w:val="00DE2692"/>
    <w:rsid w:val="00DE55A6"/>
    <w:rsid w:val="00DF1714"/>
    <w:rsid w:val="00DF17B1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b.europa.eu/stats/financial_markets_and_interest_rates/euro_area_yield_curves/html/index.en.html" TargetMode="External"/><Relationship Id="rId2" Type="http://schemas.openxmlformats.org/officeDocument/2006/relationships/hyperlink" Target="https://www.treasury.gov/resource-center/data-chart-center/interest-rates/pages/TextView.aspx?data=yield" TargetMode="External"/><Relationship Id="rId1" Type="http://schemas.openxmlformats.org/officeDocument/2006/relationships/hyperlink" Target="https://www.moex.com/ru/marketdata/indices/state/g-cur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D2E83-ED97-433A-8A68-66F1C8503DA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18A970-911D-47F1-A99D-09BDFEF6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Ячный</cp:lastModifiedBy>
  <cp:revision>4</cp:revision>
  <cp:lastPrinted>2019-12-16T11:46:00Z</cp:lastPrinted>
  <dcterms:created xsi:type="dcterms:W3CDTF">2024-12-20T09:01:00Z</dcterms:created>
  <dcterms:modified xsi:type="dcterms:W3CDTF">2024-12-20T13:37:00Z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